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5"/>
        <w:gridCol w:w="3291"/>
        <w:gridCol w:w="3260"/>
        <w:gridCol w:w="2830"/>
        <w:gridCol w:w="3752"/>
      </w:tblGrid>
      <w:tr w:rsidR="00421823" w:rsidRPr="00736D3E" w:rsidTr="00EF3496">
        <w:trPr>
          <w:jc w:val="center"/>
        </w:trPr>
        <w:tc>
          <w:tcPr>
            <w:tcW w:w="1015" w:type="dxa"/>
          </w:tcPr>
          <w:p w:rsidR="00421823" w:rsidRPr="00736D3E" w:rsidRDefault="00421823" w:rsidP="00EF3496">
            <w:pPr>
              <w:rPr>
                <w:b/>
              </w:rPr>
            </w:pPr>
            <w:bookmarkStart w:id="0" w:name="_GoBack"/>
            <w:bookmarkEnd w:id="0"/>
          </w:p>
        </w:tc>
        <w:tc>
          <w:tcPr>
            <w:tcW w:w="3291" w:type="dxa"/>
          </w:tcPr>
          <w:p w:rsidR="00421823" w:rsidRPr="00736D3E" w:rsidRDefault="00421823" w:rsidP="00EF3496">
            <w:pPr>
              <w:jc w:val="center"/>
              <w:rPr>
                <w:b/>
              </w:rPr>
            </w:pPr>
            <w:r w:rsidRPr="00736D3E">
              <w:rPr>
                <w:b/>
              </w:rPr>
              <w:t>Early Start Family Resource Centers (ESFRC)</w:t>
            </w:r>
          </w:p>
          <w:p w:rsidR="00421823" w:rsidRDefault="00421823" w:rsidP="00EF3496">
            <w:pPr>
              <w:jc w:val="center"/>
            </w:pPr>
            <w:r w:rsidRPr="00736D3E">
              <w:t>47 statewide</w:t>
            </w:r>
          </w:p>
          <w:p w:rsidR="00427745" w:rsidRPr="00736D3E" w:rsidRDefault="00B75F60" w:rsidP="00EF3496">
            <w:pPr>
              <w:jc w:val="center"/>
            </w:pPr>
            <w:hyperlink r:id="rId6" w:history="1">
              <w:r w:rsidR="00427745" w:rsidRPr="006E463E">
                <w:rPr>
                  <w:rStyle w:val="Hyperlink"/>
                  <w:sz w:val="22"/>
                  <w:szCs w:val="22"/>
                </w:rPr>
                <w:t>www.frcnca.org</w:t>
              </w:r>
            </w:hyperlink>
          </w:p>
          <w:p w:rsidR="00421823" w:rsidRPr="00736D3E" w:rsidRDefault="00421823" w:rsidP="00EF3496">
            <w:pPr>
              <w:jc w:val="center"/>
              <w:rPr>
                <w:b/>
              </w:rPr>
            </w:pPr>
          </w:p>
        </w:tc>
        <w:tc>
          <w:tcPr>
            <w:tcW w:w="3260" w:type="dxa"/>
          </w:tcPr>
          <w:p w:rsidR="00421823" w:rsidRPr="00736D3E" w:rsidRDefault="00421823" w:rsidP="00EF3496">
            <w:pPr>
              <w:jc w:val="center"/>
              <w:rPr>
                <w:b/>
              </w:rPr>
            </w:pPr>
            <w:r w:rsidRPr="00736D3E">
              <w:rPr>
                <w:b/>
              </w:rPr>
              <w:t xml:space="preserve">Family Empowerment Centers </w:t>
            </w:r>
          </w:p>
          <w:p w:rsidR="00421823" w:rsidRPr="00736D3E" w:rsidRDefault="00421823" w:rsidP="00EF3496">
            <w:pPr>
              <w:jc w:val="center"/>
              <w:rPr>
                <w:b/>
              </w:rPr>
            </w:pPr>
            <w:r w:rsidRPr="00736D3E">
              <w:rPr>
                <w:b/>
              </w:rPr>
              <w:t>(FEC)</w:t>
            </w:r>
          </w:p>
          <w:p w:rsidR="00421823" w:rsidRPr="00736D3E" w:rsidRDefault="00421823" w:rsidP="00EF3496">
            <w:pPr>
              <w:jc w:val="center"/>
              <w:rPr>
                <w:b/>
              </w:rPr>
            </w:pPr>
            <w:r w:rsidRPr="00736D3E">
              <w:t>14 statewide</w:t>
            </w:r>
          </w:p>
        </w:tc>
        <w:tc>
          <w:tcPr>
            <w:tcW w:w="2830" w:type="dxa"/>
          </w:tcPr>
          <w:p w:rsidR="00421823" w:rsidRPr="00736D3E" w:rsidRDefault="00421823" w:rsidP="00EF3496">
            <w:pPr>
              <w:jc w:val="center"/>
              <w:rPr>
                <w:b/>
              </w:rPr>
            </w:pPr>
            <w:r w:rsidRPr="00736D3E">
              <w:rPr>
                <w:b/>
              </w:rPr>
              <w:t xml:space="preserve">Family Voices of </w:t>
            </w:r>
            <w:smartTag w:uri="urn:schemas-microsoft-com:office:smarttags" w:element="State">
              <w:smartTag w:uri="urn:schemas-microsoft-com:office:smarttags" w:element="place">
                <w:r w:rsidRPr="00736D3E">
                  <w:rPr>
                    <w:b/>
                  </w:rPr>
                  <w:t>California</w:t>
                </w:r>
              </w:smartTag>
            </w:smartTag>
          </w:p>
          <w:p w:rsidR="00421823" w:rsidRPr="00736D3E" w:rsidRDefault="00421823" w:rsidP="00EF3496">
            <w:pPr>
              <w:jc w:val="center"/>
              <w:rPr>
                <w:b/>
              </w:rPr>
            </w:pPr>
            <w:r w:rsidRPr="00736D3E">
              <w:rPr>
                <w:b/>
              </w:rPr>
              <w:t>(FVCA)</w:t>
            </w:r>
          </w:p>
          <w:p w:rsidR="00421823" w:rsidRDefault="00421823" w:rsidP="00EF3496">
            <w:pPr>
              <w:jc w:val="center"/>
            </w:pPr>
            <w:r w:rsidRPr="00736D3E">
              <w:t>10 Statewide</w:t>
            </w:r>
          </w:p>
          <w:p w:rsidR="00427745" w:rsidRPr="00736D3E" w:rsidRDefault="00427745" w:rsidP="00EF3496">
            <w:pPr>
              <w:jc w:val="center"/>
              <w:rPr>
                <w:b/>
              </w:rPr>
            </w:pPr>
            <w:r w:rsidRPr="00736D3E">
              <w:rPr>
                <w:sz w:val="22"/>
                <w:szCs w:val="22"/>
              </w:rPr>
              <w:t>www.familyvoicesofca.org</w:t>
            </w:r>
          </w:p>
        </w:tc>
        <w:tc>
          <w:tcPr>
            <w:tcW w:w="3752" w:type="dxa"/>
          </w:tcPr>
          <w:p w:rsidR="00421823" w:rsidRPr="00736D3E" w:rsidRDefault="00421823" w:rsidP="00EF3496">
            <w:pPr>
              <w:jc w:val="center"/>
              <w:rPr>
                <w:b/>
              </w:rPr>
            </w:pPr>
            <w:r w:rsidRPr="00736D3E">
              <w:rPr>
                <w:b/>
              </w:rPr>
              <w:t>Federally Funded Parent Centers</w:t>
            </w:r>
          </w:p>
          <w:p w:rsidR="00421823" w:rsidRDefault="00421823" w:rsidP="00EF3496">
            <w:pPr>
              <w:jc w:val="center"/>
              <w:rPr>
                <w:b/>
              </w:rPr>
            </w:pPr>
            <w:r w:rsidRPr="00736D3E">
              <w:rPr>
                <w:b/>
              </w:rPr>
              <w:t>Parent Training &amp; Information Centers (PTI) and Community Parent Resource Centers  (CPRC)</w:t>
            </w:r>
          </w:p>
          <w:p w:rsidR="00427745" w:rsidRPr="00736D3E" w:rsidRDefault="00427745" w:rsidP="00EF3496">
            <w:pPr>
              <w:jc w:val="center"/>
              <w:rPr>
                <w:b/>
              </w:rPr>
            </w:pPr>
            <w:r>
              <w:rPr>
                <w:sz w:val="22"/>
                <w:szCs w:val="22"/>
              </w:rPr>
              <w:t>www.parentcenterhub.org</w:t>
            </w:r>
          </w:p>
        </w:tc>
      </w:tr>
      <w:tr w:rsidR="00421823" w:rsidRPr="00736D3E" w:rsidTr="00EF3496">
        <w:trPr>
          <w:cantSplit/>
          <w:trHeight w:val="1367"/>
          <w:jc w:val="center"/>
        </w:trPr>
        <w:tc>
          <w:tcPr>
            <w:tcW w:w="1015" w:type="dxa"/>
            <w:textDirection w:val="btLr"/>
          </w:tcPr>
          <w:p w:rsidR="00421823" w:rsidRPr="00736D3E" w:rsidRDefault="00421823" w:rsidP="00EF3496">
            <w:pPr>
              <w:ind w:left="113" w:right="113"/>
              <w:jc w:val="center"/>
              <w:rPr>
                <w:b/>
                <w:sz w:val="22"/>
                <w:szCs w:val="22"/>
              </w:rPr>
            </w:pPr>
            <w:r w:rsidRPr="00736D3E">
              <w:rPr>
                <w:b/>
                <w:sz w:val="22"/>
                <w:szCs w:val="22"/>
              </w:rPr>
              <w:t>Population Served</w:t>
            </w:r>
          </w:p>
        </w:tc>
        <w:tc>
          <w:tcPr>
            <w:tcW w:w="3291" w:type="dxa"/>
          </w:tcPr>
          <w:p w:rsidR="00421823" w:rsidRPr="00427745" w:rsidRDefault="00421823" w:rsidP="00EF3496">
            <w:pPr>
              <w:pStyle w:val="Heading1"/>
              <w:rPr>
                <w:sz w:val="24"/>
                <w:szCs w:val="24"/>
              </w:rPr>
            </w:pPr>
            <w:r w:rsidRPr="00427745">
              <w:rPr>
                <w:sz w:val="24"/>
                <w:szCs w:val="24"/>
              </w:rPr>
              <w:t>Ages 0-3</w:t>
            </w:r>
          </w:p>
          <w:p w:rsidR="00421823" w:rsidRPr="00427745" w:rsidRDefault="00421823" w:rsidP="00EF3496">
            <w:pPr>
              <w:rPr>
                <w:szCs w:val="24"/>
              </w:rPr>
            </w:pPr>
            <w:r w:rsidRPr="00427745">
              <w:rPr>
                <w:szCs w:val="24"/>
              </w:rPr>
              <w:t>Focus on families of infants and toddlers  at risk of or with developmental delays and disabilities</w:t>
            </w:r>
          </w:p>
        </w:tc>
        <w:tc>
          <w:tcPr>
            <w:tcW w:w="3260" w:type="dxa"/>
          </w:tcPr>
          <w:p w:rsidR="00421823" w:rsidRPr="00427745" w:rsidRDefault="00421823" w:rsidP="00EF3496">
            <w:pPr>
              <w:pStyle w:val="Heading1"/>
              <w:rPr>
                <w:sz w:val="24"/>
                <w:szCs w:val="24"/>
              </w:rPr>
            </w:pPr>
            <w:r w:rsidRPr="00427745">
              <w:rPr>
                <w:sz w:val="24"/>
                <w:szCs w:val="24"/>
              </w:rPr>
              <w:t>Ages 3-22</w:t>
            </w:r>
          </w:p>
          <w:p w:rsidR="00421823" w:rsidRPr="00427745" w:rsidRDefault="00421823" w:rsidP="00EF3496">
            <w:pPr>
              <w:rPr>
                <w:szCs w:val="24"/>
              </w:rPr>
            </w:pPr>
            <w:r w:rsidRPr="00427745">
              <w:rPr>
                <w:szCs w:val="24"/>
              </w:rPr>
              <w:t>Focus on children with disabilities who require special education services</w:t>
            </w:r>
          </w:p>
        </w:tc>
        <w:tc>
          <w:tcPr>
            <w:tcW w:w="2830" w:type="dxa"/>
          </w:tcPr>
          <w:p w:rsidR="00421823" w:rsidRPr="00427745" w:rsidRDefault="00421823" w:rsidP="00EF3496">
            <w:pPr>
              <w:pStyle w:val="Heading1"/>
              <w:rPr>
                <w:sz w:val="24"/>
                <w:szCs w:val="24"/>
              </w:rPr>
            </w:pPr>
            <w:r w:rsidRPr="00427745">
              <w:rPr>
                <w:sz w:val="24"/>
                <w:szCs w:val="24"/>
              </w:rPr>
              <w:t>No age limit</w:t>
            </w:r>
          </w:p>
          <w:p w:rsidR="00421823" w:rsidRPr="00427745" w:rsidRDefault="00421823" w:rsidP="00EF3496">
            <w:pPr>
              <w:rPr>
                <w:szCs w:val="24"/>
              </w:rPr>
            </w:pPr>
            <w:r w:rsidRPr="00427745">
              <w:rPr>
                <w:szCs w:val="24"/>
              </w:rPr>
              <w:t>Focus on children with special health care needs</w:t>
            </w:r>
          </w:p>
        </w:tc>
        <w:tc>
          <w:tcPr>
            <w:tcW w:w="3752" w:type="dxa"/>
          </w:tcPr>
          <w:p w:rsidR="00421823" w:rsidRPr="00427745" w:rsidRDefault="00421823" w:rsidP="00EF3496">
            <w:pPr>
              <w:pStyle w:val="Heading1"/>
              <w:rPr>
                <w:sz w:val="24"/>
                <w:szCs w:val="24"/>
              </w:rPr>
            </w:pPr>
            <w:r w:rsidRPr="00427745">
              <w:rPr>
                <w:sz w:val="24"/>
                <w:szCs w:val="24"/>
              </w:rPr>
              <w:t>Ages 0-26</w:t>
            </w:r>
          </w:p>
          <w:p w:rsidR="00421823" w:rsidRPr="00427745" w:rsidRDefault="00421823" w:rsidP="00EF3496">
            <w:pPr>
              <w:rPr>
                <w:szCs w:val="24"/>
              </w:rPr>
            </w:pPr>
            <w:r w:rsidRPr="00427745">
              <w:rPr>
                <w:szCs w:val="24"/>
              </w:rPr>
              <w:t>Focus on children with education needs.</w:t>
            </w:r>
          </w:p>
        </w:tc>
      </w:tr>
      <w:tr w:rsidR="00421823" w:rsidRPr="00736D3E" w:rsidTr="00EF3496">
        <w:trPr>
          <w:cantSplit/>
          <w:trHeight w:val="1134"/>
          <w:jc w:val="center"/>
        </w:trPr>
        <w:tc>
          <w:tcPr>
            <w:tcW w:w="1015" w:type="dxa"/>
            <w:textDirection w:val="btLr"/>
          </w:tcPr>
          <w:p w:rsidR="00421823" w:rsidRPr="00736D3E" w:rsidRDefault="00421823" w:rsidP="00EF3496">
            <w:pPr>
              <w:ind w:left="113" w:right="113"/>
              <w:jc w:val="center"/>
              <w:rPr>
                <w:b/>
                <w:sz w:val="28"/>
              </w:rPr>
            </w:pPr>
            <w:r w:rsidRPr="00736D3E">
              <w:rPr>
                <w:b/>
                <w:sz w:val="28"/>
              </w:rPr>
              <w:t>Services Provided</w:t>
            </w:r>
          </w:p>
        </w:tc>
        <w:tc>
          <w:tcPr>
            <w:tcW w:w="3291" w:type="dxa"/>
          </w:tcPr>
          <w:p w:rsidR="00421823" w:rsidRPr="00427745" w:rsidRDefault="00421823" w:rsidP="00EF3496">
            <w:pPr>
              <w:pStyle w:val="Heading1"/>
              <w:rPr>
                <w:b w:val="0"/>
                <w:sz w:val="24"/>
                <w:szCs w:val="24"/>
              </w:rPr>
            </w:pPr>
            <w:r w:rsidRPr="00427745">
              <w:rPr>
                <w:b w:val="0"/>
                <w:sz w:val="24"/>
                <w:szCs w:val="24"/>
              </w:rPr>
              <w:t xml:space="preserve">Supports families of children with disabilities, special healthcare needs, and those at risk of developmental delays in every California </w:t>
            </w:r>
            <w:proofErr w:type="gramStart"/>
            <w:r w:rsidRPr="00427745">
              <w:rPr>
                <w:b w:val="0"/>
                <w:sz w:val="24"/>
                <w:szCs w:val="24"/>
              </w:rPr>
              <w:t>county</w:t>
            </w:r>
            <w:proofErr w:type="gramEnd"/>
            <w:r w:rsidRPr="00427745">
              <w:rPr>
                <w:b w:val="0"/>
                <w:sz w:val="24"/>
                <w:szCs w:val="24"/>
              </w:rPr>
              <w:t>.  ESFRCs offer parent-to-parent support, information and referral, public awareness, family professional collaborations and transition assistance when the child is approaching age three.  In addition, many ESFRCS offer services to families of children over the age of three.</w:t>
            </w:r>
          </w:p>
          <w:p w:rsidR="00421823" w:rsidRPr="00427745" w:rsidRDefault="00421823" w:rsidP="00EF3496">
            <w:pPr>
              <w:pStyle w:val="Heading1"/>
              <w:rPr>
                <w:b w:val="0"/>
                <w:sz w:val="24"/>
                <w:szCs w:val="24"/>
              </w:rPr>
            </w:pPr>
          </w:p>
          <w:p w:rsidR="00421823" w:rsidRPr="00427745" w:rsidRDefault="00421823" w:rsidP="00EF3496">
            <w:pPr>
              <w:pStyle w:val="Heading1"/>
              <w:rPr>
                <w:b w:val="0"/>
                <w:sz w:val="24"/>
                <w:szCs w:val="24"/>
              </w:rPr>
            </w:pPr>
          </w:p>
        </w:tc>
        <w:tc>
          <w:tcPr>
            <w:tcW w:w="3260" w:type="dxa"/>
          </w:tcPr>
          <w:p w:rsidR="00421823" w:rsidRPr="00427745" w:rsidRDefault="00421823" w:rsidP="00EF3496">
            <w:pPr>
              <w:pStyle w:val="Heading1"/>
              <w:rPr>
                <w:b w:val="0"/>
                <w:sz w:val="24"/>
                <w:szCs w:val="24"/>
              </w:rPr>
            </w:pPr>
            <w:r w:rsidRPr="00427745">
              <w:rPr>
                <w:b w:val="0"/>
                <w:sz w:val="24"/>
                <w:szCs w:val="24"/>
              </w:rPr>
              <w:t xml:space="preserve">Assists families of children with disabilities in the area of educational needs.  FECs provide family education, empowerment and parent-professional activities in order to help children obtain a quality education to ensure that children and adults have the opportunity to discover and use their diverse gifts talents and abilities to achieve self-determination and quality of life.  </w:t>
            </w:r>
          </w:p>
          <w:p w:rsidR="00421823" w:rsidRPr="00427745" w:rsidRDefault="00421823" w:rsidP="00EF3496">
            <w:pPr>
              <w:pStyle w:val="Heading1"/>
              <w:rPr>
                <w:b w:val="0"/>
                <w:sz w:val="24"/>
                <w:szCs w:val="24"/>
              </w:rPr>
            </w:pPr>
          </w:p>
        </w:tc>
        <w:tc>
          <w:tcPr>
            <w:tcW w:w="2830" w:type="dxa"/>
          </w:tcPr>
          <w:p w:rsidR="00421823" w:rsidRPr="00427745" w:rsidRDefault="00421823" w:rsidP="00EF3496">
            <w:pPr>
              <w:pStyle w:val="Heading1"/>
              <w:rPr>
                <w:b w:val="0"/>
                <w:sz w:val="24"/>
                <w:szCs w:val="24"/>
              </w:rPr>
            </w:pPr>
            <w:r w:rsidRPr="00427745">
              <w:rPr>
                <w:b w:val="0"/>
                <w:sz w:val="24"/>
                <w:szCs w:val="24"/>
              </w:rPr>
              <w:t>Seeks to improve the lives of children with special health care needs by improving policies and systems of care for children with special health care needs, providing information and education to families and professionals regarding health care for children with special health care needs, promoting family centered, culturally competent, community based coordination, and quality of care for children with special health care needs and developing family and professional partnerships.</w:t>
            </w:r>
          </w:p>
        </w:tc>
        <w:tc>
          <w:tcPr>
            <w:tcW w:w="3752" w:type="dxa"/>
          </w:tcPr>
          <w:p w:rsidR="00421823" w:rsidRPr="00427745" w:rsidRDefault="00421823" w:rsidP="00560F8E">
            <w:pPr>
              <w:pStyle w:val="Heading1"/>
              <w:rPr>
                <w:b w:val="0"/>
                <w:sz w:val="24"/>
                <w:szCs w:val="24"/>
              </w:rPr>
            </w:pPr>
            <w:r w:rsidRPr="00427745">
              <w:rPr>
                <w:b w:val="0"/>
                <w:sz w:val="24"/>
                <w:szCs w:val="24"/>
              </w:rPr>
              <w:t xml:space="preserve">The </w:t>
            </w:r>
            <w:r w:rsidR="00560F8E" w:rsidRPr="00427745">
              <w:rPr>
                <w:b w:val="0"/>
                <w:sz w:val="24"/>
                <w:szCs w:val="24"/>
              </w:rPr>
              <w:t>seven</w:t>
            </w:r>
            <w:r w:rsidRPr="00427745">
              <w:rPr>
                <w:b w:val="0"/>
                <w:sz w:val="24"/>
                <w:szCs w:val="24"/>
              </w:rPr>
              <w:t xml:space="preserve"> </w:t>
            </w:r>
            <w:r w:rsidRPr="00427745">
              <w:rPr>
                <w:b w:val="0"/>
                <w:i/>
                <w:sz w:val="24"/>
                <w:szCs w:val="24"/>
              </w:rPr>
              <w:t>Parent Training and Information Centers</w:t>
            </w:r>
            <w:r w:rsidRPr="00427745">
              <w:rPr>
                <w:b w:val="0"/>
                <w:sz w:val="24"/>
                <w:szCs w:val="24"/>
              </w:rPr>
              <w:t xml:space="preserve"> (PTIs</w:t>
            </w:r>
            <w:proofErr w:type="gramStart"/>
            <w:r w:rsidRPr="00427745">
              <w:rPr>
                <w:b w:val="0"/>
                <w:sz w:val="24"/>
                <w:szCs w:val="24"/>
              </w:rPr>
              <w:t>)  and</w:t>
            </w:r>
            <w:proofErr w:type="gramEnd"/>
            <w:r w:rsidRPr="00427745">
              <w:rPr>
                <w:b w:val="0"/>
                <w:sz w:val="24"/>
                <w:szCs w:val="24"/>
              </w:rPr>
              <w:t xml:space="preserve"> </w:t>
            </w:r>
            <w:r w:rsidR="00560F8E" w:rsidRPr="00427745">
              <w:rPr>
                <w:b w:val="0"/>
                <w:sz w:val="24"/>
                <w:szCs w:val="24"/>
              </w:rPr>
              <w:t>four</w:t>
            </w:r>
            <w:r w:rsidRPr="00427745">
              <w:rPr>
                <w:b w:val="0"/>
                <w:sz w:val="24"/>
                <w:szCs w:val="24"/>
              </w:rPr>
              <w:t xml:space="preserve"> </w:t>
            </w:r>
            <w:r w:rsidRPr="00427745">
              <w:rPr>
                <w:b w:val="0"/>
                <w:i/>
                <w:sz w:val="24"/>
                <w:szCs w:val="24"/>
              </w:rPr>
              <w:t>Community Parent Resource Centers</w:t>
            </w:r>
            <w:r w:rsidRPr="00427745">
              <w:rPr>
                <w:b w:val="0"/>
                <w:sz w:val="24"/>
                <w:szCs w:val="24"/>
              </w:rPr>
              <w:t xml:space="preserve"> (CPRCs) provide training and information to parents of infants, toddlers, children, and youth with disabilities and to professionals who work with children. This assistance helps parents to participate more effectively with professionals in meeting the educational needs of children and youth with disabilities. The Parent Centers work to improve educational outcomes for children and youth with all disabilities (emotional, learning, mental, and physical).  Community Parent Resource Centers focus on underserved populations such as the Vietnamese Parents of Disabled Children and Parents of Watts.</w:t>
            </w:r>
          </w:p>
        </w:tc>
      </w:tr>
    </w:tbl>
    <w:p w:rsidR="00C86F3B" w:rsidRDefault="00C86F3B"/>
    <w:sectPr w:rsidR="00C86F3B" w:rsidSect="003C66A3">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136" w:rsidRDefault="00830136" w:rsidP="003C66A3">
      <w:r>
        <w:separator/>
      </w:r>
    </w:p>
  </w:endnote>
  <w:endnote w:type="continuationSeparator" w:id="0">
    <w:p w:rsidR="00830136" w:rsidRDefault="00830136" w:rsidP="003C6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66A3" w:rsidRDefault="00560F8E" w:rsidP="003C66A3">
    <w:pPr>
      <w:pStyle w:val="Footer"/>
      <w:jc w:val="right"/>
    </w:pPr>
    <w:r>
      <w:t>April 2015</w:t>
    </w:r>
  </w:p>
  <w:p w:rsidR="003C66A3" w:rsidRDefault="003C6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136" w:rsidRDefault="00830136" w:rsidP="003C66A3">
      <w:r>
        <w:separator/>
      </w:r>
    </w:p>
  </w:footnote>
  <w:footnote w:type="continuationSeparator" w:id="0">
    <w:p w:rsidR="00830136" w:rsidRDefault="00830136" w:rsidP="003C66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823"/>
    <w:rsid w:val="003C66A3"/>
    <w:rsid w:val="00421823"/>
    <w:rsid w:val="00427745"/>
    <w:rsid w:val="00560F8E"/>
    <w:rsid w:val="00830136"/>
    <w:rsid w:val="00846A78"/>
    <w:rsid w:val="00902B50"/>
    <w:rsid w:val="00B75F60"/>
    <w:rsid w:val="00C86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1D503071-32F5-4905-9538-C8F281CCF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82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421823"/>
    <w:pPr>
      <w:keepNext/>
      <w:jc w:val="center"/>
      <w:outlineLvl w:val="0"/>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823"/>
    <w:rPr>
      <w:rFonts w:ascii="Times New Roman" w:eastAsia="Times New Roman" w:hAnsi="Times New Roman" w:cs="Times New Roman"/>
      <w:b/>
      <w:sz w:val="36"/>
      <w:szCs w:val="20"/>
    </w:rPr>
  </w:style>
  <w:style w:type="character" w:styleId="Hyperlink">
    <w:name w:val="Hyperlink"/>
    <w:basedOn w:val="DefaultParagraphFont"/>
    <w:rsid w:val="00421823"/>
    <w:rPr>
      <w:color w:val="0000FF"/>
      <w:u w:val="single"/>
    </w:rPr>
  </w:style>
  <w:style w:type="paragraph" w:styleId="Header">
    <w:name w:val="header"/>
    <w:basedOn w:val="Normal"/>
    <w:link w:val="HeaderChar"/>
    <w:uiPriority w:val="99"/>
    <w:unhideWhenUsed/>
    <w:rsid w:val="003C66A3"/>
    <w:pPr>
      <w:tabs>
        <w:tab w:val="center" w:pos="4680"/>
        <w:tab w:val="right" w:pos="9360"/>
      </w:tabs>
    </w:pPr>
  </w:style>
  <w:style w:type="character" w:customStyle="1" w:styleId="HeaderChar">
    <w:name w:val="Header Char"/>
    <w:basedOn w:val="DefaultParagraphFont"/>
    <w:link w:val="Header"/>
    <w:uiPriority w:val="99"/>
    <w:rsid w:val="003C66A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C66A3"/>
    <w:pPr>
      <w:tabs>
        <w:tab w:val="center" w:pos="4680"/>
        <w:tab w:val="right" w:pos="9360"/>
      </w:tabs>
    </w:pPr>
  </w:style>
  <w:style w:type="character" w:customStyle="1" w:styleId="FooterChar">
    <w:name w:val="Footer Char"/>
    <w:basedOn w:val="DefaultParagraphFont"/>
    <w:link w:val="Footer"/>
    <w:uiPriority w:val="99"/>
    <w:rsid w:val="003C66A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16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cnc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2312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Sarmento</dc:creator>
  <cp:keywords/>
  <dc:description/>
  <cp:lastModifiedBy>Ali Barclay</cp:lastModifiedBy>
  <cp:revision>2</cp:revision>
  <dcterms:created xsi:type="dcterms:W3CDTF">2016-03-21T18:22:00Z</dcterms:created>
  <dcterms:modified xsi:type="dcterms:W3CDTF">2016-03-21T18:22:00Z</dcterms:modified>
</cp:coreProperties>
</file>